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93" w:rsidRDefault="002642A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8E1193" w:rsidRPr="002642A1" w:rsidRDefault="002642A1" w:rsidP="002642A1">
      <w:pPr>
        <w:rPr>
          <w:rFonts w:ascii="Verdana" w:eastAsia="Times New Roman" w:hAnsi="Verdana"/>
          <w:sz w:val="18"/>
          <w:szCs w:val="18"/>
        </w:rPr>
      </w:pPr>
      <w:r>
        <w:rPr>
          <w:rFonts w:ascii="Verdana" w:eastAsia="Times New Roman" w:hAnsi="Verdana"/>
          <w:b/>
          <w:bCs/>
          <w:sz w:val="18"/>
          <w:szCs w:val="18"/>
        </w:rPr>
        <w:t>Diagnostiek en behandeling (ernstige, enkelvoudige) dyslexie</w:t>
      </w:r>
      <w:r>
        <w:rPr>
          <w:rFonts w:ascii="Verdana" w:eastAsia="Times New Roman" w:hAnsi="Verdana"/>
          <w:sz w:val="18"/>
          <w:szCs w:val="18"/>
        </w:rPr>
        <w:br/>
      </w:r>
      <w:r>
        <w:rPr>
          <w:rFonts w:ascii="Verdana" w:hAnsi="Verdana"/>
          <w:sz w:val="18"/>
          <w:szCs w:val="18"/>
        </w:rPr>
        <w:br/>
        <w:t>Tijdens deze cursus krijg je nog meer inzicht in de diagnostiek en behandeling van ernstige enkelvoudige dyslexie. Hierbij gaan we uit van het Protocol Dyslexie Diagnostiek &amp; Behandeling voor de zorg (PDDB 2.0). Er wordt ingegaan op onder andere signalering, de diagnostische cyclus en de inhoud en opzet van de dyslexiebehandeling. Praktische oefening vindt plaats aan de hand van enkele casussen.</w:t>
      </w:r>
    </w:p>
    <w:p w:rsidR="008E1193" w:rsidRDefault="002642A1" w:rsidP="002642A1">
      <w:pPr>
        <w:rPr>
          <w:rFonts w:ascii="Verdana" w:eastAsia="Times New Roman" w:hAnsi="Verdana"/>
          <w:sz w:val="18"/>
          <w:szCs w:val="18"/>
        </w:rPr>
      </w:pPr>
      <w:r>
        <w:rPr>
          <w:rFonts w:ascii="Verdana" w:eastAsia="Times New Roman" w:hAnsi="Verdana"/>
          <w:sz w:val="18"/>
          <w:szCs w:val="18"/>
        </w:rPr>
        <w:b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8E1193" w:rsidRDefault="002642A1" w:rsidP="002642A1">
      <w:pPr>
        <w:rPr>
          <w:rFonts w:ascii="Verdana" w:eastAsia="Times New Roman" w:hAnsi="Verdana"/>
          <w:sz w:val="18"/>
          <w:szCs w:val="18"/>
        </w:rPr>
      </w:pPr>
      <w:r>
        <w:rPr>
          <w:rFonts w:ascii="Verdana" w:eastAsia="Times New Roman" w:hAnsi="Verdana"/>
          <w:sz w:val="18"/>
          <w:szCs w:val="18"/>
        </w:rPr>
        <w:t>Na afloop van deze cursus ben je bekend met:</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onderscheid in definities SDN en PDDB 2.0</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indicaties voor dyslexie-onderzoek</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de diagnostische cyclus bij het vaststellen van dyslexie</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van signalering/verwijzing van school, naar anamnese en diagnostisch onderzoek in 4 stappen:</w:t>
      </w:r>
      <w:r>
        <w:rPr>
          <w:rFonts w:ascii="Verdana" w:eastAsia="Times New Roman" w:hAnsi="Verdana"/>
          <w:sz w:val="18"/>
          <w:szCs w:val="18"/>
        </w:rPr>
        <w:br/>
        <w:t>1. ernst vaststellen</w:t>
      </w:r>
      <w:r>
        <w:rPr>
          <w:rFonts w:ascii="Verdana" w:eastAsia="Times New Roman" w:hAnsi="Verdana"/>
          <w:sz w:val="18"/>
          <w:szCs w:val="18"/>
        </w:rPr>
        <w:br/>
        <w:t xml:space="preserve">2. differentiaal diagnose </w:t>
      </w:r>
      <w:r>
        <w:rPr>
          <w:rFonts w:ascii="Verdana" w:eastAsia="Times New Roman" w:hAnsi="Verdana"/>
          <w:sz w:val="18"/>
          <w:szCs w:val="18"/>
        </w:rPr>
        <w:br/>
        <w:t>3. dyslexie typerend profiel</w:t>
      </w:r>
      <w:r>
        <w:rPr>
          <w:rFonts w:ascii="Verdana" w:eastAsia="Times New Roman" w:hAnsi="Verdana"/>
          <w:sz w:val="18"/>
          <w:szCs w:val="18"/>
        </w:rPr>
        <w:br/>
        <w:t>4. alternatieve verklaringen</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op basis van casuïstiek beter leren inschatten: komt dit kind in aanmerking voor onderzoek (signalering en voortraject)</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nog beter leren onderzoeken van kinderen op dyslexie (diagnostisch proces, differentiaal diagnose, dyslexie typerend profiel)</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beïnvloeden en aanmoedigen van motivatie</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effectief leren behandelen van dyslexie</w:t>
      </w:r>
    </w:p>
    <w:p w:rsidR="008E1193" w:rsidRDefault="002642A1" w:rsidP="002642A1">
      <w:pPr>
        <w:numPr>
          <w:ilvl w:val="0"/>
          <w:numId w:val="2"/>
        </w:numPr>
        <w:rPr>
          <w:rFonts w:ascii="Verdana" w:eastAsia="Times New Roman" w:hAnsi="Verdana"/>
          <w:sz w:val="18"/>
          <w:szCs w:val="18"/>
        </w:rPr>
      </w:pPr>
      <w:r>
        <w:rPr>
          <w:rFonts w:ascii="Verdana" w:eastAsia="Times New Roman" w:hAnsi="Verdana"/>
          <w:sz w:val="18"/>
          <w:szCs w:val="18"/>
        </w:rPr>
        <w:t>compenserende en dispenserende maatregelen bij dyslexie</w:t>
      </w:r>
    </w:p>
    <w:p w:rsidR="002642A1" w:rsidRDefault="002642A1" w:rsidP="002642A1">
      <w:pPr>
        <w:ind w:left="720"/>
        <w:rPr>
          <w:rFonts w:ascii="Verdana" w:eastAsia="Times New Roman" w:hAnsi="Verdana"/>
          <w:sz w:val="18"/>
          <w:szCs w:val="18"/>
        </w:rPr>
      </w:pPr>
    </w:p>
    <w:p w:rsidR="008E1193" w:rsidRDefault="002642A1" w:rsidP="002642A1">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Basispsycholoog en Orthopedagoog</w:t>
      </w:r>
      <w:r>
        <w:rPr>
          <w:rFonts w:ascii="Verdana" w:eastAsia="Times New Roman" w:hAnsi="Verdana"/>
          <w:sz w:val="18"/>
          <w:szCs w:val="18"/>
        </w:rPr>
        <w:br/>
      </w:r>
      <w:r>
        <w:rPr>
          <w:rFonts w:ascii="Verdana" w:eastAsia="Times New Roman" w:hAnsi="Verdana"/>
          <w:sz w:val="18"/>
          <w:szCs w:val="18"/>
        </w:rPr>
        <w:br/>
        <w:t>Professionals die geen of weinig ervaring hebben met de diagnostiek en behandeling van ernstige, enkelvoudige dyslexie (of pas recentelijk werken volgens het protocol PDDB 2.0).</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Fonts w:ascii="Verdana" w:eastAsia="Times New Roman" w:hAnsi="Verdana"/>
          <w:sz w:val="18"/>
          <w:szCs w:val="18"/>
        </w:rPr>
        <w:br/>
        <w:t>Dag 1: diagnostiek</w:t>
      </w:r>
    </w:p>
    <w:p w:rsidR="008E1193" w:rsidRDefault="002642A1" w:rsidP="002642A1">
      <w:pPr>
        <w:numPr>
          <w:ilvl w:val="0"/>
          <w:numId w:val="3"/>
        </w:numPr>
        <w:rPr>
          <w:rFonts w:ascii="Verdana" w:eastAsia="Times New Roman" w:hAnsi="Verdana"/>
          <w:sz w:val="18"/>
          <w:szCs w:val="18"/>
        </w:rPr>
      </w:pPr>
      <w:r>
        <w:rPr>
          <w:rFonts w:ascii="Verdana" w:eastAsia="Times New Roman" w:hAnsi="Verdana"/>
          <w:sz w:val="18"/>
          <w:szCs w:val="18"/>
        </w:rPr>
        <w:t>definitie dyslexie</w:t>
      </w:r>
    </w:p>
    <w:p w:rsidR="008E1193" w:rsidRDefault="002642A1" w:rsidP="002642A1">
      <w:pPr>
        <w:numPr>
          <w:ilvl w:val="0"/>
          <w:numId w:val="3"/>
        </w:numPr>
        <w:rPr>
          <w:rFonts w:ascii="Verdana" w:eastAsia="Times New Roman" w:hAnsi="Verdana"/>
          <w:sz w:val="18"/>
          <w:szCs w:val="18"/>
        </w:rPr>
      </w:pPr>
      <w:r>
        <w:rPr>
          <w:rFonts w:ascii="Verdana" w:eastAsia="Times New Roman" w:hAnsi="Verdana"/>
          <w:sz w:val="18"/>
          <w:szCs w:val="18"/>
        </w:rPr>
        <w:t>doel PDDB 2.0</w:t>
      </w:r>
    </w:p>
    <w:p w:rsidR="008E1193" w:rsidRDefault="002642A1" w:rsidP="002642A1">
      <w:pPr>
        <w:numPr>
          <w:ilvl w:val="0"/>
          <w:numId w:val="3"/>
        </w:numPr>
        <w:rPr>
          <w:rFonts w:ascii="Verdana" w:eastAsia="Times New Roman" w:hAnsi="Verdana"/>
          <w:sz w:val="18"/>
          <w:szCs w:val="18"/>
        </w:rPr>
      </w:pPr>
      <w:r>
        <w:rPr>
          <w:rFonts w:ascii="Verdana" w:eastAsia="Times New Roman" w:hAnsi="Verdana"/>
          <w:sz w:val="18"/>
          <w:szCs w:val="18"/>
        </w:rPr>
        <w:t>signalering en voortraject</w:t>
      </w:r>
    </w:p>
    <w:p w:rsidR="008E1193" w:rsidRDefault="002642A1" w:rsidP="002642A1">
      <w:pPr>
        <w:numPr>
          <w:ilvl w:val="0"/>
          <w:numId w:val="3"/>
        </w:numPr>
        <w:rPr>
          <w:rFonts w:ascii="Verdana" w:eastAsia="Times New Roman" w:hAnsi="Verdana"/>
          <w:sz w:val="18"/>
          <w:szCs w:val="18"/>
        </w:rPr>
      </w:pPr>
      <w:r>
        <w:rPr>
          <w:rFonts w:ascii="Verdana" w:eastAsia="Times New Roman" w:hAnsi="Verdana"/>
          <w:sz w:val="18"/>
          <w:szCs w:val="18"/>
        </w:rPr>
        <w:t>diagnostisch proces:</w:t>
      </w:r>
    </w:p>
    <w:p w:rsidR="008E1193" w:rsidRDefault="002642A1" w:rsidP="002642A1">
      <w:pPr>
        <w:numPr>
          <w:ilvl w:val="0"/>
          <w:numId w:val="4"/>
        </w:numPr>
        <w:rPr>
          <w:rFonts w:ascii="Verdana" w:eastAsia="Times New Roman" w:hAnsi="Verdana"/>
          <w:sz w:val="18"/>
          <w:szCs w:val="18"/>
        </w:rPr>
      </w:pPr>
      <w:r>
        <w:rPr>
          <w:rFonts w:ascii="Verdana" w:eastAsia="Times New Roman" w:hAnsi="Verdana"/>
          <w:sz w:val="18"/>
          <w:szCs w:val="18"/>
        </w:rPr>
        <w:t>ernst vaststellen</w:t>
      </w:r>
    </w:p>
    <w:p w:rsidR="008E1193" w:rsidRDefault="002642A1" w:rsidP="002642A1">
      <w:pPr>
        <w:numPr>
          <w:ilvl w:val="0"/>
          <w:numId w:val="4"/>
        </w:numPr>
        <w:rPr>
          <w:rFonts w:ascii="Verdana" w:eastAsia="Times New Roman" w:hAnsi="Verdana"/>
          <w:sz w:val="18"/>
          <w:szCs w:val="18"/>
        </w:rPr>
      </w:pPr>
      <w:r>
        <w:rPr>
          <w:rFonts w:ascii="Verdana" w:eastAsia="Times New Roman" w:hAnsi="Verdana"/>
          <w:sz w:val="18"/>
          <w:szCs w:val="18"/>
        </w:rPr>
        <w:t>differentiaal diagnose</w:t>
      </w:r>
    </w:p>
    <w:p w:rsidR="008E1193" w:rsidRDefault="002642A1" w:rsidP="002642A1">
      <w:pPr>
        <w:numPr>
          <w:ilvl w:val="0"/>
          <w:numId w:val="4"/>
        </w:numPr>
        <w:rPr>
          <w:rFonts w:ascii="Verdana" w:eastAsia="Times New Roman" w:hAnsi="Verdana"/>
          <w:sz w:val="18"/>
          <w:szCs w:val="18"/>
        </w:rPr>
      </w:pPr>
      <w:r>
        <w:rPr>
          <w:rFonts w:ascii="Verdana" w:eastAsia="Times New Roman" w:hAnsi="Verdana"/>
          <w:sz w:val="18"/>
          <w:szCs w:val="18"/>
        </w:rPr>
        <w:t>dyslexie typerend profiel</w:t>
      </w:r>
    </w:p>
    <w:p w:rsidR="008E1193" w:rsidRPr="002642A1" w:rsidRDefault="002642A1" w:rsidP="002642A1">
      <w:pPr>
        <w:numPr>
          <w:ilvl w:val="0"/>
          <w:numId w:val="4"/>
        </w:numPr>
        <w:rPr>
          <w:rFonts w:ascii="Verdana" w:eastAsia="Times New Roman" w:hAnsi="Verdana"/>
          <w:sz w:val="18"/>
          <w:szCs w:val="18"/>
        </w:rPr>
      </w:pPr>
      <w:r>
        <w:rPr>
          <w:rFonts w:ascii="Verdana" w:eastAsia="Times New Roman" w:hAnsi="Verdana"/>
          <w:sz w:val="18"/>
          <w:szCs w:val="18"/>
        </w:rPr>
        <w:t>alternatieve verklaringen</w:t>
      </w:r>
    </w:p>
    <w:p w:rsidR="008E1193" w:rsidRDefault="002642A1" w:rsidP="002642A1">
      <w:pPr>
        <w:numPr>
          <w:ilvl w:val="0"/>
          <w:numId w:val="5"/>
        </w:numPr>
        <w:rPr>
          <w:rFonts w:ascii="Verdana" w:eastAsia="Times New Roman" w:hAnsi="Verdana"/>
          <w:sz w:val="18"/>
          <w:szCs w:val="18"/>
        </w:rPr>
      </w:pPr>
      <w:r>
        <w:rPr>
          <w:rFonts w:ascii="Verdana" w:eastAsia="Times New Roman" w:hAnsi="Verdana"/>
          <w:sz w:val="18"/>
          <w:szCs w:val="18"/>
        </w:rPr>
        <w:t>diagnostiekverklaring</w:t>
      </w:r>
    </w:p>
    <w:p w:rsidR="008E1193" w:rsidRDefault="002642A1" w:rsidP="002642A1">
      <w:pPr>
        <w:numPr>
          <w:ilvl w:val="0"/>
          <w:numId w:val="5"/>
        </w:numPr>
        <w:rPr>
          <w:rFonts w:ascii="Verdana" w:eastAsia="Times New Roman" w:hAnsi="Verdana"/>
          <w:sz w:val="18"/>
          <w:szCs w:val="18"/>
        </w:rPr>
      </w:pPr>
      <w:r>
        <w:rPr>
          <w:rFonts w:ascii="Verdana" w:eastAsia="Times New Roman" w:hAnsi="Verdana"/>
          <w:sz w:val="18"/>
          <w:szCs w:val="18"/>
        </w:rPr>
        <w:t>handelingsadviezen</w:t>
      </w:r>
    </w:p>
    <w:p w:rsidR="008E1193" w:rsidRDefault="002642A1" w:rsidP="002642A1">
      <w:pPr>
        <w:numPr>
          <w:ilvl w:val="0"/>
          <w:numId w:val="5"/>
        </w:numPr>
        <w:rPr>
          <w:rFonts w:ascii="Verdana" w:eastAsia="Times New Roman" w:hAnsi="Verdana"/>
          <w:sz w:val="18"/>
          <w:szCs w:val="18"/>
        </w:rPr>
      </w:pPr>
      <w:r>
        <w:rPr>
          <w:rFonts w:ascii="Verdana" w:eastAsia="Times New Roman" w:hAnsi="Verdana"/>
          <w:sz w:val="18"/>
          <w:szCs w:val="18"/>
        </w:rPr>
        <w:t>gevolgen van dyslexie</w:t>
      </w:r>
    </w:p>
    <w:p w:rsidR="008E1193" w:rsidRDefault="002642A1" w:rsidP="002642A1">
      <w:pPr>
        <w:rPr>
          <w:rFonts w:ascii="Verdana" w:eastAsia="Times New Roman" w:hAnsi="Verdana"/>
          <w:sz w:val="18"/>
          <w:szCs w:val="18"/>
        </w:rPr>
      </w:pPr>
      <w:r>
        <w:rPr>
          <w:rFonts w:ascii="Verdana" w:eastAsia="Times New Roman" w:hAnsi="Verdana"/>
          <w:sz w:val="18"/>
          <w:szCs w:val="18"/>
        </w:rPr>
        <w:br/>
        <w:t xml:space="preserve">Dag 2: behandeling van ernstige lees- en spellingsproblemen </w:t>
      </w:r>
    </w:p>
    <w:p w:rsidR="008E1193" w:rsidRDefault="002642A1" w:rsidP="002642A1">
      <w:pPr>
        <w:numPr>
          <w:ilvl w:val="0"/>
          <w:numId w:val="6"/>
        </w:numPr>
        <w:rPr>
          <w:rFonts w:ascii="Verdana" w:eastAsia="Times New Roman" w:hAnsi="Verdana"/>
          <w:sz w:val="18"/>
          <w:szCs w:val="18"/>
        </w:rPr>
      </w:pPr>
      <w:r>
        <w:rPr>
          <w:rFonts w:ascii="Verdana" w:eastAsia="Times New Roman" w:hAnsi="Verdana"/>
          <w:sz w:val="18"/>
          <w:szCs w:val="18"/>
        </w:rPr>
        <w:t>voorwaarden starten dyslexiebehandeling</w:t>
      </w:r>
    </w:p>
    <w:p w:rsidR="008E1193" w:rsidRDefault="002642A1" w:rsidP="002642A1">
      <w:pPr>
        <w:numPr>
          <w:ilvl w:val="0"/>
          <w:numId w:val="7"/>
        </w:numPr>
        <w:rPr>
          <w:rFonts w:ascii="Verdana" w:eastAsia="Times New Roman" w:hAnsi="Verdana"/>
          <w:sz w:val="18"/>
          <w:szCs w:val="18"/>
        </w:rPr>
      </w:pPr>
      <w:r>
        <w:rPr>
          <w:rFonts w:ascii="Verdana" w:eastAsia="Times New Roman" w:hAnsi="Verdana"/>
          <w:sz w:val="18"/>
          <w:szCs w:val="18"/>
        </w:rPr>
        <w:t>motivatie</w:t>
      </w:r>
    </w:p>
    <w:p w:rsidR="008E1193" w:rsidRDefault="002642A1" w:rsidP="002642A1">
      <w:pPr>
        <w:numPr>
          <w:ilvl w:val="0"/>
          <w:numId w:val="7"/>
        </w:numPr>
        <w:rPr>
          <w:rFonts w:ascii="Verdana" w:eastAsia="Times New Roman" w:hAnsi="Verdana"/>
          <w:sz w:val="18"/>
          <w:szCs w:val="18"/>
        </w:rPr>
      </w:pPr>
      <w:r>
        <w:rPr>
          <w:rFonts w:ascii="Verdana" w:eastAsia="Times New Roman" w:hAnsi="Verdana"/>
          <w:sz w:val="18"/>
          <w:szCs w:val="18"/>
        </w:rPr>
        <w:t xml:space="preserve">geen belemmerende </w:t>
      </w:r>
      <w:proofErr w:type="spellStart"/>
      <w:r>
        <w:rPr>
          <w:rFonts w:ascii="Verdana" w:eastAsia="Times New Roman" w:hAnsi="Verdana"/>
          <w:sz w:val="18"/>
          <w:szCs w:val="18"/>
        </w:rPr>
        <w:t>comorbiditeit</w:t>
      </w:r>
      <w:proofErr w:type="spellEnd"/>
    </w:p>
    <w:p w:rsidR="008E1193" w:rsidRDefault="002642A1" w:rsidP="002642A1">
      <w:pPr>
        <w:numPr>
          <w:ilvl w:val="0"/>
          <w:numId w:val="7"/>
        </w:numPr>
        <w:rPr>
          <w:rFonts w:ascii="Verdana" w:eastAsia="Times New Roman" w:hAnsi="Verdana"/>
          <w:sz w:val="18"/>
          <w:szCs w:val="18"/>
        </w:rPr>
      </w:pPr>
      <w:r>
        <w:rPr>
          <w:rFonts w:ascii="Verdana" w:eastAsia="Times New Roman" w:hAnsi="Verdana"/>
          <w:sz w:val="18"/>
          <w:szCs w:val="18"/>
        </w:rPr>
        <w:t>inspanningsverplichting</w:t>
      </w:r>
    </w:p>
    <w:p w:rsidR="008E1193" w:rsidRPr="002642A1" w:rsidRDefault="002642A1" w:rsidP="002642A1">
      <w:pPr>
        <w:numPr>
          <w:ilvl w:val="0"/>
          <w:numId w:val="7"/>
        </w:numPr>
        <w:rPr>
          <w:rFonts w:ascii="Verdana" w:eastAsia="Times New Roman" w:hAnsi="Verdana"/>
          <w:sz w:val="18"/>
          <w:szCs w:val="18"/>
        </w:rPr>
      </w:pPr>
      <w:r>
        <w:rPr>
          <w:rFonts w:ascii="Verdana" w:eastAsia="Times New Roman" w:hAnsi="Verdana"/>
          <w:sz w:val="18"/>
          <w:szCs w:val="18"/>
        </w:rPr>
        <w:t>aanwezigheid</w:t>
      </w:r>
    </w:p>
    <w:p w:rsidR="008E1193" w:rsidRDefault="002642A1" w:rsidP="002642A1">
      <w:pPr>
        <w:numPr>
          <w:ilvl w:val="0"/>
          <w:numId w:val="8"/>
        </w:numPr>
        <w:rPr>
          <w:rFonts w:ascii="Verdana" w:eastAsia="Times New Roman" w:hAnsi="Verdana"/>
          <w:sz w:val="18"/>
          <w:szCs w:val="18"/>
        </w:rPr>
      </w:pPr>
      <w:r>
        <w:rPr>
          <w:rFonts w:ascii="Verdana" w:eastAsia="Times New Roman" w:hAnsi="Verdana"/>
          <w:sz w:val="18"/>
          <w:szCs w:val="18"/>
        </w:rPr>
        <w:t>effectieve dyslexiebehandeling</w:t>
      </w:r>
    </w:p>
    <w:p w:rsidR="008E1193" w:rsidRDefault="002642A1" w:rsidP="002642A1">
      <w:pPr>
        <w:numPr>
          <w:ilvl w:val="0"/>
          <w:numId w:val="8"/>
        </w:numPr>
        <w:rPr>
          <w:rFonts w:ascii="Verdana" w:eastAsia="Times New Roman" w:hAnsi="Verdana"/>
          <w:sz w:val="18"/>
          <w:szCs w:val="18"/>
        </w:rPr>
      </w:pPr>
      <w:r>
        <w:rPr>
          <w:rFonts w:ascii="Verdana" w:eastAsia="Times New Roman" w:hAnsi="Verdana"/>
          <w:sz w:val="18"/>
          <w:szCs w:val="18"/>
        </w:rPr>
        <w:t>het behandelproces</w:t>
      </w:r>
    </w:p>
    <w:p w:rsidR="008E1193" w:rsidRDefault="002642A1" w:rsidP="002642A1">
      <w:pPr>
        <w:numPr>
          <w:ilvl w:val="0"/>
          <w:numId w:val="9"/>
        </w:numPr>
        <w:rPr>
          <w:rFonts w:ascii="Verdana" w:eastAsia="Times New Roman" w:hAnsi="Verdana"/>
          <w:sz w:val="18"/>
          <w:szCs w:val="18"/>
        </w:rPr>
      </w:pPr>
      <w:r>
        <w:rPr>
          <w:rFonts w:ascii="Verdana" w:eastAsia="Times New Roman" w:hAnsi="Verdana"/>
          <w:sz w:val="18"/>
          <w:szCs w:val="18"/>
        </w:rPr>
        <w:lastRenderedPageBreak/>
        <w:t>behandelduur en frequentie</w:t>
      </w:r>
    </w:p>
    <w:p w:rsidR="008E1193" w:rsidRDefault="002642A1" w:rsidP="002642A1">
      <w:pPr>
        <w:numPr>
          <w:ilvl w:val="0"/>
          <w:numId w:val="9"/>
        </w:numPr>
        <w:rPr>
          <w:rFonts w:ascii="Verdana" w:eastAsia="Times New Roman" w:hAnsi="Verdana"/>
          <w:sz w:val="18"/>
          <w:szCs w:val="18"/>
        </w:rPr>
      </w:pPr>
      <w:r>
        <w:rPr>
          <w:rFonts w:ascii="Verdana" w:eastAsia="Times New Roman" w:hAnsi="Verdana"/>
          <w:sz w:val="18"/>
          <w:szCs w:val="18"/>
        </w:rPr>
        <w:t>handelingsplan</w:t>
      </w:r>
    </w:p>
    <w:p w:rsidR="008E1193" w:rsidRDefault="002642A1" w:rsidP="002642A1">
      <w:pPr>
        <w:numPr>
          <w:ilvl w:val="0"/>
          <w:numId w:val="9"/>
        </w:numPr>
        <w:rPr>
          <w:rFonts w:ascii="Verdana" w:eastAsia="Times New Roman" w:hAnsi="Verdana"/>
          <w:sz w:val="18"/>
          <w:szCs w:val="18"/>
        </w:rPr>
      </w:pPr>
      <w:r>
        <w:rPr>
          <w:rFonts w:ascii="Verdana" w:eastAsia="Times New Roman" w:hAnsi="Verdana"/>
          <w:sz w:val="18"/>
          <w:szCs w:val="18"/>
        </w:rPr>
        <w:t>evaluatie</w:t>
      </w:r>
    </w:p>
    <w:p w:rsidR="008E1193" w:rsidRPr="002642A1" w:rsidRDefault="002642A1" w:rsidP="002642A1">
      <w:pPr>
        <w:numPr>
          <w:ilvl w:val="0"/>
          <w:numId w:val="9"/>
        </w:numPr>
        <w:rPr>
          <w:rFonts w:ascii="Verdana" w:eastAsia="Times New Roman" w:hAnsi="Verdana"/>
          <w:sz w:val="18"/>
          <w:szCs w:val="18"/>
        </w:rPr>
      </w:pPr>
      <w:r>
        <w:rPr>
          <w:rFonts w:ascii="Verdana" w:eastAsia="Times New Roman" w:hAnsi="Verdana"/>
          <w:sz w:val="18"/>
          <w:szCs w:val="18"/>
        </w:rPr>
        <w:t>rol en samenwerking school</w:t>
      </w:r>
    </w:p>
    <w:p w:rsidR="008E1193" w:rsidRDefault="002642A1" w:rsidP="002642A1">
      <w:pPr>
        <w:numPr>
          <w:ilvl w:val="0"/>
          <w:numId w:val="10"/>
        </w:numPr>
        <w:rPr>
          <w:rFonts w:ascii="Verdana" w:eastAsia="Times New Roman" w:hAnsi="Verdana"/>
          <w:sz w:val="18"/>
          <w:szCs w:val="18"/>
        </w:rPr>
      </w:pPr>
      <w:r>
        <w:rPr>
          <w:rFonts w:ascii="Verdana" w:eastAsia="Times New Roman" w:hAnsi="Verdana"/>
          <w:sz w:val="18"/>
          <w:szCs w:val="18"/>
        </w:rPr>
        <w:t>compenserende en dispenserende maatregelen</w:t>
      </w:r>
    </w:p>
    <w:p w:rsidR="008E1193" w:rsidRDefault="002642A1" w:rsidP="002642A1">
      <w:pPr>
        <w:numPr>
          <w:ilvl w:val="0"/>
          <w:numId w:val="10"/>
        </w:numPr>
        <w:rPr>
          <w:rFonts w:ascii="Verdana" w:eastAsia="Times New Roman" w:hAnsi="Verdana"/>
          <w:sz w:val="18"/>
          <w:szCs w:val="18"/>
        </w:rPr>
      </w:pPr>
      <w:r>
        <w:rPr>
          <w:rFonts w:ascii="Verdana" w:eastAsia="Times New Roman" w:hAnsi="Verdana"/>
          <w:sz w:val="18"/>
          <w:szCs w:val="18"/>
        </w:rPr>
        <w:t>dwaalwegen in de dyslexiebehandeling</w:t>
      </w:r>
    </w:p>
    <w:p w:rsidR="008E1193" w:rsidRDefault="002642A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sidR="008F5F7C" w:rsidRPr="008F5F7C">
        <w:rPr>
          <w:rFonts w:ascii="Verdana" w:eastAsia="Times New Roman" w:hAnsi="Verdana"/>
          <w:sz w:val="18"/>
          <w:szCs w:val="18"/>
        </w:rPr>
        <w:t xml:space="preserve">Ilse </w:t>
      </w:r>
      <w:proofErr w:type="spellStart"/>
      <w:r w:rsidR="008F5F7C" w:rsidRPr="008F5F7C">
        <w:rPr>
          <w:rFonts w:ascii="Verdana" w:eastAsia="Times New Roman" w:hAnsi="Verdana"/>
          <w:sz w:val="18"/>
          <w:szCs w:val="18"/>
        </w:rPr>
        <w:t>Ganzinga</w:t>
      </w:r>
      <w:proofErr w:type="spellEnd"/>
      <w:r w:rsidR="008F5F7C" w:rsidRPr="008F5F7C">
        <w:rPr>
          <w:rFonts w:ascii="Verdana" w:eastAsia="Times New Roman" w:hAnsi="Verdana"/>
          <w:sz w:val="18"/>
          <w:szCs w:val="18"/>
        </w:rPr>
        <w:t xml:space="preserve"> MSc, Nienke de Boer MSc en Drs. Jojanneke van der </w:t>
      </w:r>
      <w:bookmarkStart w:id="0" w:name="_GoBack"/>
      <w:bookmarkEnd w:id="0"/>
      <w:r w:rsidR="008F5F7C" w:rsidRPr="008F5F7C">
        <w:rPr>
          <w:rFonts w:ascii="Verdana" w:eastAsia="Times New Roman" w:hAnsi="Verdana"/>
          <w:sz w:val="18"/>
          <w:szCs w:val="18"/>
        </w:rPr>
        <w:t>Beek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8E1193">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63A"/>
    <w:multiLevelType w:val="multilevel"/>
    <w:tmpl w:val="BD90AE1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DA52614"/>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19CD"/>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4856"/>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24899"/>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D73BF"/>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27F68"/>
    <w:multiLevelType w:val="multilevel"/>
    <w:tmpl w:val="359AE0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9A12CCD"/>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54807"/>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07E6D"/>
    <w:multiLevelType w:val="multilevel"/>
    <w:tmpl w:val="FFA60E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4"/>
  </w:num>
  <w:num w:numId="3">
    <w:abstractNumId w:val="8"/>
  </w:num>
  <w:num w:numId="4">
    <w:abstractNumId w:val="9"/>
  </w:num>
  <w:num w:numId="5">
    <w:abstractNumId w:val="1"/>
  </w:num>
  <w:num w:numId="6">
    <w:abstractNumId w:val="2"/>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38"/>
    <w:rsid w:val="002642A1"/>
    <w:rsid w:val="002A3438"/>
    <w:rsid w:val="008E1193"/>
    <w:rsid w:val="008F5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CF34"/>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7866">
      <w:marLeft w:val="0"/>
      <w:marRight w:val="0"/>
      <w:marTop w:val="0"/>
      <w:marBottom w:val="0"/>
      <w:divBdr>
        <w:top w:val="none" w:sz="0" w:space="0" w:color="auto"/>
        <w:left w:val="none" w:sz="0" w:space="0" w:color="auto"/>
        <w:bottom w:val="none" w:sz="0" w:space="0" w:color="auto"/>
        <w:right w:val="none" w:sz="0" w:space="0" w:color="auto"/>
      </w:divBdr>
      <w:divsChild>
        <w:div w:id="763842361">
          <w:marLeft w:val="0"/>
          <w:marRight w:val="0"/>
          <w:marTop w:val="0"/>
          <w:marBottom w:val="0"/>
          <w:divBdr>
            <w:top w:val="none" w:sz="0" w:space="0" w:color="auto"/>
            <w:left w:val="none" w:sz="0" w:space="0" w:color="auto"/>
            <w:bottom w:val="none" w:sz="0" w:space="0" w:color="auto"/>
            <w:right w:val="none" w:sz="0" w:space="0" w:color="auto"/>
          </w:divBdr>
          <w:divsChild>
            <w:div w:id="16740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372</Words>
  <Characters>2409</Characters>
  <Application>Microsoft Office Word</Application>
  <DocSecurity>0</DocSecurity>
  <Lines>401</Lines>
  <Paragraphs>173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Anne Burer</cp:lastModifiedBy>
  <cp:revision>4</cp:revision>
  <dcterms:created xsi:type="dcterms:W3CDTF">2019-03-21T08:51:00Z</dcterms:created>
  <dcterms:modified xsi:type="dcterms:W3CDTF">2019-08-01T13:56:00Z</dcterms:modified>
</cp:coreProperties>
</file>